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47727" w14:textId="77777777" w:rsidR="00011E82" w:rsidRDefault="00011E82" w:rsidP="00011E82">
      <w:pPr>
        <w:pStyle w:val="Kop1"/>
      </w:pPr>
      <w:r>
        <w:t>Rol van de CLB medewerker in een duaal leerproces</w:t>
      </w:r>
    </w:p>
    <w:p w14:paraId="2F7BEE48" w14:textId="77777777" w:rsidR="00011E82" w:rsidRDefault="00011E82" w:rsidP="00011E82">
      <w:pPr>
        <w:rPr>
          <w:shd w:val="clear" w:color="auto" w:fill="FFFFFF"/>
        </w:rPr>
      </w:pPr>
      <w:r w:rsidRPr="00642F37">
        <w:rPr>
          <w:shd w:val="clear" w:color="auto" w:fill="FFFFFF"/>
        </w:rPr>
        <w:t xml:space="preserve">Een CLB-medewerker kan als </w:t>
      </w:r>
      <w:r w:rsidRPr="004E579D">
        <w:rPr>
          <w:b/>
          <w:bCs/>
          <w:shd w:val="clear" w:color="auto" w:fill="FFFFFF"/>
        </w:rPr>
        <w:t>neutrale en externe partner</w:t>
      </w:r>
      <w:r w:rsidRPr="00642F37">
        <w:rPr>
          <w:shd w:val="clear" w:color="auto" w:fill="FFFFFF"/>
        </w:rPr>
        <w:t xml:space="preserve"> een rol spelen binnen de oriëntering naar een duaal traject. Hij</w:t>
      </w:r>
      <w:r>
        <w:rPr>
          <w:shd w:val="clear" w:color="auto" w:fill="FFFFFF"/>
        </w:rPr>
        <w:t>/zij</w:t>
      </w:r>
      <w:r w:rsidRPr="00642F37">
        <w:rPr>
          <w:shd w:val="clear" w:color="auto" w:fill="FFFFFF"/>
        </w:rPr>
        <w:t xml:space="preserve"> kan de leerling, ouders en school extra ondersteunen bij oriënteringsgesprekken in functie van de </w:t>
      </w:r>
      <w:r w:rsidRPr="004E579D">
        <w:rPr>
          <w:b/>
          <w:bCs/>
          <w:shd w:val="clear" w:color="auto" w:fill="FFFFFF"/>
        </w:rPr>
        <w:t>onderwijsloopbaan</w:t>
      </w:r>
      <w:r w:rsidRPr="00642F37">
        <w:rPr>
          <w:shd w:val="clear" w:color="auto" w:fill="FFFFFF"/>
        </w:rPr>
        <w:t xml:space="preserve"> of extra </w:t>
      </w:r>
      <w:r w:rsidRPr="0062494B">
        <w:rPr>
          <w:b/>
          <w:bCs/>
          <w:shd w:val="clear" w:color="auto" w:fill="FFFFFF"/>
        </w:rPr>
        <w:t>informatie geven</w:t>
      </w:r>
      <w:r w:rsidRPr="00642F37">
        <w:rPr>
          <w:shd w:val="clear" w:color="auto" w:fill="FFFFFF"/>
        </w:rPr>
        <w:t>. Hij</w:t>
      </w:r>
      <w:r>
        <w:rPr>
          <w:shd w:val="clear" w:color="auto" w:fill="FFFFFF"/>
        </w:rPr>
        <w:t>/zij</w:t>
      </w:r>
      <w:r w:rsidRPr="00642F37">
        <w:rPr>
          <w:shd w:val="clear" w:color="auto" w:fill="FFFFFF"/>
        </w:rPr>
        <w:t xml:space="preserve"> kan ook een actieve taak opnemen binnen het </w:t>
      </w:r>
      <w:r w:rsidRPr="0062494B">
        <w:rPr>
          <w:b/>
          <w:bCs/>
          <w:shd w:val="clear" w:color="auto" w:fill="FFFFFF"/>
        </w:rPr>
        <w:t>oriënterings- en screeningsproces</w:t>
      </w:r>
      <w:r w:rsidRPr="00642F37">
        <w:rPr>
          <w:shd w:val="clear" w:color="auto" w:fill="FFFFFF"/>
        </w:rPr>
        <w:t xml:space="preserve"> door samen met de jongere competenties (</w:t>
      </w:r>
      <w:r>
        <w:rPr>
          <w:shd w:val="clear" w:color="auto" w:fill="FFFFFF"/>
        </w:rPr>
        <w:t>op school of buiten school</w:t>
      </w:r>
      <w:r w:rsidRPr="00642F37">
        <w:rPr>
          <w:shd w:val="clear" w:color="auto" w:fill="FFFFFF"/>
        </w:rPr>
        <w:t>) in kaart te brengen.</w:t>
      </w:r>
    </w:p>
    <w:p w14:paraId="2915C93B" w14:textId="2A583B00" w:rsidR="00211A25" w:rsidRDefault="00211A25" w:rsidP="00211A25">
      <w:pPr>
        <w:pStyle w:val="Kop1"/>
      </w:pPr>
      <w:r>
        <w:t>je rol als contactpersoon op de klassenraad</w:t>
      </w:r>
    </w:p>
    <w:p w14:paraId="43D5B61F" w14:textId="77777777" w:rsidR="00211A25" w:rsidRDefault="00211A25" w:rsidP="00211A25">
      <w:pPr>
        <w:jc w:val="both"/>
      </w:pPr>
      <w:r w:rsidRPr="00EA2B71">
        <w:rPr>
          <w:b/>
          <w:bCs/>
        </w:rPr>
        <w:t xml:space="preserve">Advies arbeidsrijp en arbeidsbereid? </w:t>
      </w:r>
      <w:r>
        <w:t xml:space="preserve">Om te weten of een leerling in aanmerking kan komen voor duaal leren zal elke leerling in een richting met dubbele finaliteit of een richting met arbeidsmarktfinaliteit een advies krijgen van de klassenraad in het vierde en vijfde jaar. Als CLB-medewerker kan je nagaan of de school een duidelijke visie heeft uitgewerkt hierover en op die manier een draagvlak gecreëerd heeft bij het schoolteam om hier effectief mee aan de slag te gaan. </w:t>
      </w:r>
    </w:p>
    <w:p w14:paraId="78B8AD5B" w14:textId="2DD6A084" w:rsidR="00211A25" w:rsidRDefault="00211A25" w:rsidP="00211A25">
      <w:pPr>
        <w:jc w:val="both"/>
      </w:pPr>
      <w:r>
        <w:rPr>
          <w:b/>
          <w:bCs/>
        </w:rPr>
        <w:t xml:space="preserve">Waarop is het advies gebaseerd? </w:t>
      </w:r>
      <w:r>
        <w:t xml:space="preserve">Als CLB-medewerker kan je in vraag stellen of het advies het resultaat is van een doordachte </w:t>
      </w:r>
      <w:r w:rsidRPr="00EA2B71">
        <w:rPr>
          <w:b/>
          <w:bCs/>
        </w:rPr>
        <w:t>onderwijsloopbaanoriëntering</w:t>
      </w:r>
      <w:r>
        <w:t xml:space="preserve"> in de voorbije schooljaren. Deze oriëntering zou de jongere informatie moeten gegeven hebben over arbeidsattitudes, interesses, werkpunten, talenten, … Het verplichte advies dat hij meekrijgt van de school, voorafgaand aan de inschrijving in de duale richting, zou voor hem geen nieuwe informatie mogen opleveren. Hij moet zichzelf in dit advies kunnen herkennen om een doordachte start te kunnen maken in de duale opleiding. De CLB-medewerker op de klassenraad kan nagaan waarop het advies gebaseerd is. Is het advies het resultaat van gebundelde informatie en wordt geformuleerd wat nodig is om verder te groeien? Op welke manier wordt informatie gewonnen over de mate waarin leerlingen al dan niet reeds beschikken over bepaalde arbeidscompetenties? Komt deze informatie van verschillende personen (leerkracht, leerlingbegeleider, CLB) op verschillende momenten en op verschillende manieren (vragenlijst, observatieoefening, </w:t>
      </w:r>
      <w:r w:rsidR="00AE127F">
        <w:t>praktijk,</w:t>
      </w:r>
      <w:r>
        <w:t xml:space="preserve">)? </w:t>
      </w:r>
    </w:p>
    <w:p w14:paraId="5FDF840D" w14:textId="77777777" w:rsidR="00211A25" w:rsidRDefault="00211A25" w:rsidP="00211A25">
      <w:pPr>
        <w:rPr>
          <w:shd w:val="clear" w:color="auto" w:fill="FFFFFF"/>
        </w:rPr>
      </w:pPr>
      <w:r>
        <w:rPr>
          <w:b/>
          <w:bCs/>
        </w:rPr>
        <w:t xml:space="preserve">Is de mentor betrokken partij op de klassenraad? </w:t>
      </w:r>
      <w:r w:rsidRPr="004B1FE5">
        <w:rPr>
          <w:shd w:val="clear" w:color="auto" w:fill="FFFFFF"/>
        </w:rPr>
        <w:t xml:space="preserve">Jongeren zijn blij dat de mentor een rol kan krijgen in de evaluatie, door stemrecht op de klassenraad. </w:t>
      </w:r>
      <w:r>
        <w:rPr>
          <w:shd w:val="clear" w:color="auto" w:fill="FFFFFF"/>
        </w:rPr>
        <w:t xml:space="preserve">Leerlingen zien dit als een validering van hun leren op de werkplek en hopen vooral dat de mentor die rol ook daadwerkelijk kan opnemen. Weet de mentor dat hij/zij aanwezig kan zijn op de klassenraad? Stelt de school/klassenraad zich flexibel op naar de mentor toe om de klassenraad te organiseren zodat de mentor aanwezig kan zijn? </w:t>
      </w:r>
    </w:p>
    <w:p w14:paraId="1CD9DAA4" w14:textId="77777777" w:rsidR="00211A25" w:rsidRDefault="00211A25" w:rsidP="00211A25">
      <w:pPr>
        <w:jc w:val="both"/>
        <w:rPr>
          <w:b/>
          <w:bCs/>
        </w:rPr>
      </w:pPr>
      <w:r>
        <w:rPr>
          <w:b/>
          <w:bCs/>
        </w:rPr>
        <w:t xml:space="preserve">Wordt op de klassenraad nagegaan of duaal een opportuniteit zou kunnen zijn voor deze leerling? Ook indien de leerling nog niet (volledig) arbeidsrijp bevonden wordt? </w:t>
      </w:r>
      <w:r>
        <w:t>Indien hierop het antwoord ja is, of er twijfel is zou een</w:t>
      </w:r>
      <w:r w:rsidRPr="00674A04">
        <w:t xml:space="preserve"> verkennende leerlingenstage </w:t>
      </w:r>
      <w:r>
        <w:t xml:space="preserve">(snuffelstage) een antwoord kunnen zijn. Een snuffelstage </w:t>
      </w:r>
      <w:r w:rsidRPr="00674A04">
        <w:t>helpt enerzijds de leerling om te weten te komen of het beroep of de werkplek iets voor hem zijn. Anderzijds helpt het ook de klassenraad voor het formuleren van een niet-bindend advies</w:t>
      </w:r>
      <w:r>
        <w:t>.</w:t>
      </w:r>
      <w:r w:rsidRPr="00674A04">
        <w:t xml:space="preserve"> </w:t>
      </w:r>
      <w:r>
        <w:t xml:space="preserve">Indien de leerling arbeidsbereid maar nog niet (volledig) arbeidsrijp bevonden wordt, kan een aanloopfase misschien het antwoord zijn. </w:t>
      </w:r>
      <w:r>
        <w:rPr>
          <w:b/>
          <w:bCs/>
        </w:rPr>
        <w:t xml:space="preserve">Worden deze opties besproken? </w:t>
      </w:r>
    </w:p>
    <w:p w14:paraId="6CA578FA" w14:textId="77777777" w:rsidR="00211A25" w:rsidRPr="00C50645" w:rsidRDefault="00211A25" w:rsidP="00211A25">
      <w:pPr>
        <w:jc w:val="both"/>
        <w:rPr>
          <w:b/>
          <w:bCs/>
        </w:rPr>
      </w:pPr>
      <w:r w:rsidRPr="00C50645">
        <w:rPr>
          <w:b/>
          <w:bCs/>
        </w:rPr>
        <w:t xml:space="preserve">Ik heb meer informatie nodig over: </w:t>
      </w:r>
    </w:p>
    <w:p w14:paraId="231EFFE4" w14:textId="77777777" w:rsidR="00211A25" w:rsidRPr="00C50645" w:rsidRDefault="00211A25" w:rsidP="00211A25">
      <w:pPr>
        <w:jc w:val="both"/>
      </w:pPr>
      <w:hyperlink r:id="rId7" w:history="1">
        <w:r>
          <w:rPr>
            <w:rStyle w:val="Hyperlink"/>
          </w:rPr>
          <w:t>K</w:t>
        </w:r>
        <w:r w:rsidRPr="00C50645">
          <w:rPr>
            <w:rStyle w:val="Hyperlink"/>
          </w:rPr>
          <w:t>lik hier</w:t>
        </w:r>
      </w:hyperlink>
      <w:r w:rsidRPr="00C50645">
        <w:t xml:space="preserve"> voor meer informatie over snuffelstages. </w:t>
      </w:r>
    </w:p>
    <w:p w14:paraId="774B850C" w14:textId="77777777" w:rsidR="00211A25" w:rsidRDefault="00211A25" w:rsidP="00211A25">
      <w:pPr>
        <w:jc w:val="both"/>
      </w:pPr>
      <w:hyperlink r:id="rId8" w:history="1">
        <w:r w:rsidRPr="00C50645">
          <w:rPr>
            <w:rStyle w:val="Hyperlink"/>
          </w:rPr>
          <w:t>Klik hier</w:t>
        </w:r>
      </w:hyperlink>
      <w:r>
        <w:t xml:space="preserve"> voor meer informatie over de aanloopfase</w:t>
      </w:r>
    </w:p>
    <w:p w14:paraId="273C188B" w14:textId="77777777" w:rsidR="00211A25" w:rsidRPr="00A3638C" w:rsidRDefault="00211A25" w:rsidP="00211A25">
      <w:pPr>
        <w:jc w:val="both"/>
        <w:rPr>
          <w:b/>
          <w:bCs/>
        </w:rPr>
      </w:pPr>
      <w:hyperlink r:id="rId9" w:history="1">
        <w:r w:rsidRPr="00C50645">
          <w:rPr>
            <w:rStyle w:val="Hyperlink"/>
          </w:rPr>
          <w:t>Klik hier</w:t>
        </w:r>
      </w:hyperlink>
      <w:r>
        <w:t xml:space="preserve"> voor meer informatie over oriënteren/screenen en een jongere in kaart brengen</w:t>
      </w:r>
    </w:p>
    <w:p w14:paraId="478657A6" w14:textId="77777777" w:rsidR="00211A25" w:rsidRDefault="00211A25" w:rsidP="00211A25">
      <w:r>
        <w:lastRenderedPageBreak/>
        <w:t xml:space="preserve">De volgende </w:t>
      </w:r>
      <w:r w:rsidRPr="00C50645">
        <w:rPr>
          <w:b/>
          <w:bCs/>
        </w:rPr>
        <w:t xml:space="preserve">materialen </w:t>
      </w:r>
      <w:r>
        <w:t xml:space="preserve">zouden een CLB-er op de klassenraad kunnen gebruiken of ondersteunen: </w:t>
      </w:r>
    </w:p>
    <w:p w14:paraId="07DD5C44" w14:textId="77777777" w:rsidR="00211A25" w:rsidRDefault="00211A25" w:rsidP="00211A25">
      <w:pPr>
        <w:pStyle w:val="Lijstalinea"/>
        <w:numPr>
          <w:ilvl w:val="0"/>
          <w:numId w:val="1"/>
        </w:numPr>
      </w:pPr>
      <w:r>
        <w:t>Placemat: ‘hoe handelingsgericht is onze klassenraad’</w:t>
      </w:r>
    </w:p>
    <w:p w14:paraId="522951D4" w14:textId="77777777" w:rsidR="00211A25" w:rsidRDefault="00211A25" w:rsidP="00211A25">
      <w:pPr>
        <w:pStyle w:val="Lijstalinea"/>
        <w:numPr>
          <w:ilvl w:val="1"/>
          <w:numId w:val="1"/>
        </w:numPr>
      </w:pPr>
      <w:hyperlink r:id="rId10" w:history="1">
        <w:r w:rsidRPr="005443D2">
          <w:rPr>
            <w:rStyle w:val="Hyperlink"/>
          </w:rPr>
          <w:t>De placemat</w:t>
        </w:r>
      </w:hyperlink>
      <w:r>
        <w:t xml:space="preserve"> kan een reflectieoefeningen op de klassenraad vormgeven. Er worden vragen gesteld aan de hand van de zeven uitgangspunten van handelingsgericht werken. </w:t>
      </w:r>
    </w:p>
    <w:p w14:paraId="1635038A" w14:textId="77777777" w:rsidR="00211A25" w:rsidRDefault="00211A25" w:rsidP="00211A25">
      <w:pPr>
        <w:pStyle w:val="Lijstalinea"/>
        <w:numPr>
          <w:ilvl w:val="0"/>
          <w:numId w:val="1"/>
        </w:numPr>
        <w:rPr>
          <w:shd w:val="clear" w:color="auto" w:fill="FFFFFF"/>
        </w:rPr>
      </w:pPr>
      <w:hyperlink r:id="rId11" w:history="1">
        <w:r w:rsidRPr="005443D2">
          <w:rPr>
            <w:rStyle w:val="Hyperlink"/>
            <w:shd w:val="clear" w:color="auto" w:fill="FFFFFF"/>
          </w:rPr>
          <w:t>Overzicht kwaliteitsvoorwaarden screening</w:t>
        </w:r>
      </w:hyperlink>
    </w:p>
    <w:p w14:paraId="0AD59097" w14:textId="77777777" w:rsidR="00211A25" w:rsidRDefault="00211A25" w:rsidP="00211A25">
      <w:pPr>
        <w:pStyle w:val="Lijstalinea"/>
        <w:numPr>
          <w:ilvl w:val="0"/>
          <w:numId w:val="1"/>
        </w:numPr>
        <w:rPr>
          <w:shd w:val="clear" w:color="auto" w:fill="FFFFFF"/>
        </w:rPr>
      </w:pPr>
      <w:hyperlink r:id="rId12" w:history="1">
        <w:r w:rsidRPr="005443D2">
          <w:rPr>
            <w:rStyle w:val="Hyperlink"/>
            <w:shd w:val="clear" w:color="auto" w:fill="FFFFFF"/>
          </w:rPr>
          <w:t>Leidraad:</w:t>
        </w:r>
      </w:hyperlink>
      <w:r>
        <w:rPr>
          <w:shd w:val="clear" w:color="auto" w:fill="FFFFFF"/>
        </w:rPr>
        <w:t xml:space="preserve"> ‘hoe komen tot een advies in de klassenraad voor een duaal leertraject’</w:t>
      </w:r>
    </w:p>
    <w:p w14:paraId="3E18A0F6" w14:textId="77777777" w:rsidR="00211A25" w:rsidRPr="00015F8E" w:rsidRDefault="00211A25" w:rsidP="00211A25">
      <w:pPr>
        <w:pStyle w:val="Lijstalinea"/>
        <w:numPr>
          <w:ilvl w:val="1"/>
          <w:numId w:val="1"/>
        </w:numPr>
        <w:rPr>
          <w:shd w:val="clear" w:color="auto" w:fill="FFFFFF"/>
        </w:rPr>
      </w:pPr>
      <w:bookmarkStart w:id="0" w:name="_Hlk55390698"/>
      <w:r>
        <w:rPr>
          <w:shd w:val="clear" w:color="auto" w:fill="FFFFFF"/>
        </w:rPr>
        <w:t xml:space="preserve">Dit document is een richtingaanwijzer om een aantal zaken in kaart te brengen die belangrijk zijn in het kader van een advies. </w:t>
      </w:r>
    </w:p>
    <w:bookmarkEnd w:id="0"/>
    <w:p w14:paraId="51E3C85F" w14:textId="77777777" w:rsidR="00211A25" w:rsidRDefault="00211A25" w:rsidP="00211A25">
      <w:pPr>
        <w:pStyle w:val="Lijstalinea"/>
        <w:numPr>
          <w:ilvl w:val="0"/>
          <w:numId w:val="1"/>
        </w:numPr>
        <w:rPr>
          <w:shd w:val="clear" w:color="auto" w:fill="FFFFFF"/>
        </w:rPr>
      </w:pPr>
      <w:r>
        <w:rPr>
          <w:shd w:val="clear" w:color="auto" w:fill="FFFFFF"/>
        </w:rPr>
        <w:fldChar w:fldCharType="begin"/>
      </w:r>
      <w:r>
        <w:rPr>
          <w:shd w:val="clear" w:color="auto" w:fill="FFFFFF"/>
        </w:rPr>
        <w:instrText xml:space="preserve"> HYPERLINK "https://duo.topuntgent.be/files/kcfinder/files/Verzameling%20van%20alle%20materialen/20200702%20sjabloon%20klassenraad.docx.pdf" </w:instrText>
      </w:r>
      <w:r>
        <w:rPr>
          <w:shd w:val="clear" w:color="auto" w:fill="FFFFFF"/>
        </w:rPr>
        <w:fldChar w:fldCharType="separate"/>
      </w:r>
      <w:r w:rsidRPr="005443D2">
        <w:rPr>
          <w:rStyle w:val="Hyperlink"/>
          <w:shd w:val="clear" w:color="auto" w:fill="FFFFFF"/>
        </w:rPr>
        <w:t>Sjabloon voor de klassenraad</w:t>
      </w:r>
      <w:r>
        <w:rPr>
          <w:shd w:val="clear" w:color="auto" w:fill="FFFFFF"/>
        </w:rPr>
        <w:fldChar w:fldCharType="end"/>
      </w:r>
    </w:p>
    <w:p w14:paraId="2A8AB789" w14:textId="77777777" w:rsidR="00211A25" w:rsidRDefault="00211A25" w:rsidP="00211A25">
      <w:pPr>
        <w:pStyle w:val="Lijstalinea"/>
        <w:numPr>
          <w:ilvl w:val="1"/>
          <w:numId w:val="1"/>
        </w:numPr>
        <w:rPr>
          <w:shd w:val="clear" w:color="auto" w:fill="FFFFFF"/>
        </w:rPr>
      </w:pPr>
      <w:r w:rsidRPr="00015F8E">
        <w:rPr>
          <w:shd w:val="clear" w:color="auto" w:fill="FFFFFF"/>
        </w:rPr>
        <w:t>Ter inspiratie voor de mogelijke vormgeving van een besluitvorming over arbeidsrij</w:t>
      </w:r>
      <w:r>
        <w:rPr>
          <w:shd w:val="clear" w:color="auto" w:fill="FFFFFF"/>
        </w:rPr>
        <w:t>p</w:t>
      </w:r>
      <w:r w:rsidRPr="00015F8E">
        <w:rPr>
          <w:shd w:val="clear" w:color="auto" w:fill="FFFFFF"/>
        </w:rPr>
        <w:t>heid en arbeidsbereidheid op de klassenraad, rekening houdend met groeimogelijkheden en tips om te kunnen groeien in een aantal competenties.</w:t>
      </w:r>
    </w:p>
    <w:p w14:paraId="26AFC023" w14:textId="77777777" w:rsidR="00211A25" w:rsidRDefault="00211A25" w:rsidP="00211A25">
      <w:pPr>
        <w:pStyle w:val="Lijstalinea"/>
        <w:numPr>
          <w:ilvl w:val="0"/>
          <w:numId w:val="1"/>
        </w:numPr>
      </w:pPr>
      <w:r>
        <w:t>Je brengt via een screenings-en oriënteringsproces een aantal startcompetenties in kaart en tekent een mogelijke groeiweg uit. Deze dimensies zijn een vertrekpunt om de discussie aan te gaan tussen jongere, school en bedrijf over wat men belangrijk vindt in een welbepaalde context.</w:t>
      </w:r>
    </w:p>
    <w:p w14:paraId="3F6ACF7D" w14:textId="77777777" w:rsidR="00211A25" w:rsidRDefault="00211A25" w:rsidP="00211A25"/>
    <w:p w14:paraId="53F9D8A6" w14:textId="77777777" w:rsidR="00327CEF" w:rsidRDefault="00327CEF"/>
    <w:sectPr w:rsidR="00327CE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191A" w14:textId="77777777" w:rsidR="001919AB" w:rsidRDefault="001919AB" w:rsidP="00211A25">
      <w:pPr>
        <w:spacing w:before="0" w:after="0" w:line="240" w:lineRule="auto"/>
      </w:pPr>
      <w:r>
        <w:separator/>
      </w:r>
    </w:p>
  </w:endnote>
  <w:endnote w:type="continuationSeparator" w:id="0">
    <w:p w14:paraId="6EEB7764" w14:textId="77777777" w:rsidR="001919AB" w:rsidRDefault="001919AB" w:rsidP="00211A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BA06" w14:textId="77777777" w:rsidR="001919AB" w:rsidRDefault="001919AB" w:rsidP="00211A25">
      <w:pPr>
        <w:spacing w:before="0" w:after="0" w:line="240" w:lineRule="auto"/>
      </w:pPr>
      <w:r>
        <w:separator/>
      </w:r>
    </w:p>
  </w:footnote>
  <w:footnote w:type="continuationSeparator" w:id="0">
    <w:p w14:paraId="3586E793" w14:textId="77777777" w:rsidR="001919AB" w:rsidRDefault="001919AB" w:rsidP="00211A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7DD7" w14:textId="324E2477" w:rsidR="00901140" w:rsidRPr="004B1FE5" w:rsidRDefault="00211A25" w:rsidP="004B1FE5">
    <w:pPr>
      <w:rPr>
        <w:sz w:val="16"/>
        <w:szCs w:val="16"/>
      </w:rPr>
    </w:pPr>
    <w:sdt>
      <w:sdtPr>
        <w:rPr>
          <w:sz w:val="16"/>
          <w:szCs w:val="16"/>
        </w:rPr>
        <w:id w:val="-172876195"/>
        <w:docPartObj>
          <w:docPartGallery w:val="Page Numbers (Margins)"/>
          <w:docPartUnique/>
        </w:docPartObj>
      </w:sdtPr>
      <w:sdtContent>
        <w:r w:rsidRPr="00211A25">
          <w:rPr>
            <w:noProof/>
            <w:sz w:val="16"/>
            <w:szCs w:val="16"/>
          </w:rPr>
          <mc:AlternateContent>
            <mc:Choice Requires="wps">
              <w:drawing>
                <wp:anchor distT="0" distB="0" distL="114300" distR="114300" simplePos="0" relativeHeight="251659264" behindDoc="0" locked="0" layoutInCell="0" allowOverlap="1" wp14:anchorId="7D5A699F" wp14:editId="7335988A">
                  <wp:simplePos x="0" y="0"/>
                  <wp:positionH relativeFrom="rightMargin">
                    <wp:align>right</wp:align>
                  </wp:positionH>
                  <wp:positionV relativeFrom="margin">
                    <wp:align>center</wp:align>
                  </wp:positionV>
                  <wp:extent cx="727710" cy="329565"/>
                  <wp:effectExtent l="0" t="0" r="0" b="38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2EC61" w14:textId="77777777" w:rsidR="00211A25" w:rsidRDefault="00211A25">
                              <w:pPr>
                                <w:pBdr>
                                  <w:bottom w:val="single" w:sz="4" w:space="1" w:color="auto"/>
                                </w:pBdr>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D5A699F" id="Rechthoe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OLj9qgCAgAA5QMAAA4AAAAAAAAA&#10;AAAAAAAALgIAAGRycy9lMm9Eb2MueG1sUEsBAi0AFAAGAAgAAAAhAHGmhoPcAAAABAEAAA8AAAAA&#10;AAAAAAAAAAAAXAQAAGRycy9kb3ducmV2LnhtbFBLBQYAAAAABAAEAPMAAABlBQAAAAA=&#10;" o:allowincell="f" stroked="f">
                  <v:textbox>
                    <w:txbxContent>
                      <w:p w14:paraId="1092EC61" w14:textId="77777777" w:rsidR="00211A25" w:rsidRDefault="00211A25">
                        <w:pPr>
                          <w:pBdr>
                            <w:bottom w:val="single" w:sz="4" w:space="1" w:color="auto"/>
                          </w:pBdr>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r w:rsidR="001919AB">
      <w:rPr>
        <w:sz w:val="16"/>
        <w:szCs w:val="16"/>
      </w:rPr>
      <w:t xml:space="preserve">   </w:t>
    </w:r>
    <w:r w:rsidR="001919AB" w:rsidRPr="00154DCF">
      <w:rPr>
        <w:noProof/>
      </w:rPr>
      <w:drawing>
        <wp:inline distT="0" distB="0" distL="0" distR="0" wp14:anchorId="111F075D" wp14:editId="6E6A2830">
          <wp:extent cx="2419350" cy="75517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979"/>
                  <a:stretch/>
                </pic:blipFill>
                <pic:spPr bwMode="auto">
                  <a:xfrm>
                    <a:off x="0" y="0"/>
                    <a:ext cx="2458225" cy="7673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163BB"/>
    <w:multiLevelType w:val="hybridMultilevel"/>
    <w:tmpl w:val="3FAC1E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5"/>
    <w:rsid w:val="00011E82"/>
    <w:rsid w:val="001919AB"/>
    <w:rsid w:val="00211A25"/>
    <w:rsid w:val="00327CEF"/>
    <w:rsid w:val="0036786D"/>
    <w:rsid w:val="005E7700"/>
    <w:rsid w:val="007C46BE"/>
    <w:rsid w:val="00AE127F"/>
    <w:rsid w:val="00BB1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B9FB"/>
  <w15:chartTrackingRefBased/>
  <w15:docId w15:val="{21CE6956-5B49-4AC0-A02B-E1E76D79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A25"/>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211A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A25"/>
    <w:rPr>
      <w:rFonts w:eastAsiaTheme="minorEastAsia"/>
      <w:caps/>
      <w:color w:val="FFFFFF" w:themeColor="background1"/>
      <w:spacing w:val="15"/>
      <w:shd w:val="clear" w:color="auto" w:fill="4472C4" w:themeFill="accent1"/>
    </w:rPr>
  </w:style>
  <w:style w:type="paragraph" w:styleId="Lijstalinea">
    <w:name w:val="List Paragraph"/>
    <w:basedOn w:val="Standaard"/>
    <w:uiPriority w:val="34"/>
    <w:qFormat/>
    <w:rsid w:val="00211A25"/>
    <w:pPr>
      <w:ind w:left="720"/>
      <w:contextualSpacing/>
    </w:pPr>
  </w:style>
  <w:style w:type="character" w:styleId="Hyperlink">
    <w:name w:val="Hyperlink"/>
    <w:basedOn w:val="Standaardalinea-lettertype"/>
    <w:uiPriority w:val="99"/>
    <w:unhideWhenUsed/>
    <w:rsid w:val="00211A25"/>
    <w:rPr>
      <w:color w:val="0563C1" w:themeColor="hyperlink"/>
      <w:u w:val="single"/>
    </w:rPr>
  </w:style>
  <w:style w:type="paragraph" w:styleId="Koptekst">
    <w:name w:val="header"/>
    <w:basedOn w:val="Standaard"/>
    <w:link w:val="KoptekstChar"/>
    <w:uiPriority w:val="99"/>
    <w:unhideWhenUsed/>
    <w:rsid w:val="00211A2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11A25"/>
    <w:rPr>
      <w:rFonts w:eastAsiaTheme="minorEastAsia"/>
      <w:sz w:val="20"/>
      <w:szCs w:val="20"/>
    </w:rPr>
  </w:style>
  <w:style w:type="paragraph" w:styleId="Voettekst">
    <w:name w:val="footer"/>
    <w:basedOn w:val="Standaard"/>
    <w:link w:val="VoettekstChar"/>
    <w:uiPriority w:val="99"/>
    <w:unhideWhenUsed/>
    <w:rsid w:val="00211A2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11A2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topuntgent.be/c/index.php?groepid=3&amp;n1=78&amp;n2=13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yntravlaanderen.be/snuffelstage" TargetMode="External"/><Relationship Id="rId12" Type="http://schemas.openxmlformats.org/officeDocument/2006/relationships/hyperlink" Target="https://duo.topuntgent.be/files/kcfinder/files/Verzameling%20van%20alle%20materialen/20200706%20advies%20klassenraa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o.topuntgent.be/files/kcfinder/files/Verzameling%20van%20alle%20materialen/kwaliteitsvoorwaarden%20screen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uo.topuntgent.be/files/kcfinder/files/Verzameling%20van%20alle%20materialen/Samen%20duaal%20HGW%20placemat%20met%20werkvragen.pub" TargetMode="External"/><Relationship Id="rId4" Type="http://schemas.openxmlformats.org/officeDocument/2006/relationships/webSettings" Target="webSettings.xml"/><Relationship Id="rId9" Type="http://schemas.openxmlformats.org/officeDocument/2006/relationships/hyperlink" Target="https://duo.topuntgent.be/c/index.php?groepid=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Beert</dc:creator>
  <cp:keywords/>
  <dc:description/>
  <cp:lastModifiedBy>Amber Beert</cp:lastModifiedBy>
  <cp:revision>2</cp:revision>
  <dcterms:created xsi:type="dcterms:W3CDTF">2020-11-17T09:52:00Z</dcterms:created>
  <dcterms:modified xsi:type="dcterms:W3CDTF">2020-11-17T13:34:00Z</dcterms:modified>
</cp:coreProperties>
</file>